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DF" w:rsidRPr="00FD7C2D" w:rsidRDefault="00882DDF" w:rsidP="00D64BAF">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 xml:space="preserve">ART: </w:t>
      </w:r>
      <w:r w:rsidR="00E238A3">
        <w:rPr>
          <w:rFonts w:ascii="Times New Roman" w:hAnsi="Times New Roman" w:cs="Times New Roman"/>
          <w:sz w:val="24"/>
          <w:szCs w:val="24"/>
        </w:rPr>
        <w:t>stock</w:t>
      </w:r>
    </w:p>
    <w:p w:rsidR="00882DDF" w:rsidRPr="00FD7C2D" w:rsidRDefault="00882DDF" w:rsidP="00D64BAF">
      <w:pPr>
        <w:spacing w:after="0" w:line="240" w:lineRule="auto"/>
        <w:rPr>
          <w:rFonts w:ascii="Times New Roman" w:hAnsi="Times New Roman" w:cs="Times New Roman"/>
          <w:sz w:val="24"/>
          <w:szCs w:val="24"/>
        </w:rPr>
      </w:pPr>
    </w:p>
    <w:p w:rsidR="00882DDF" w:rsidRPr="00FD7C2D" w:rsidRDefault="00882DDF" w:rsidP="00D64BAF">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PQ: “</w:t>
      </w:r>
      <w:r w:rsidRPr="00FD7C2D">
        <w:rPr>
          <w:rFonts w:ascii="Times New Roman" w:eastAsia="Times New Roman" w:hAnsi="Times New Roman" w:cs="Times New Roman"/>
          <w:sz w:val="24"/>
          <w:szCs w:val="24"/>
        </w:rPr>
        <w:t>In the end, it is clear that simply outlawing racist policies of the past does not necessarily fix the damage already done.”</w:t>
      </w:r>
    </w:p>
    <w:p w:rsidR="00882DDF" w:rsidRPr="00FD7C2D" w:rsidRDefault="00882DDF" w:rsidP="00D64BAF">
      <w:pPr>
        <w:spacing w:after="0" w:line="240" w:lineRule="auto"/>
        <w:rPr>
          <w:rFonts w:ascii="Times New Roman" w:hAnsi="Times New Roman" w:cs="Times New Roman"/>
          <w:sz w:val="24"/>
          <w:szCs w:val="24"/>
        </w:rPr>
      </w:pPr>
    </w:p>
    <w:p w:rsidR="0021365F" w:rsidRPr="00FD7C2D" w:rsidRDefault="00BE3290" w:rsidP="00D64BAF">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w:t>
      </w:r>
      <w:r w:rsidR="00D64BAF" w:rsidRPr="00FD7C2D">
        <w:rPr>
          <w:rFonts w:ascii="Times New Roman" w:hAnsi="Times New Roman" w:cs="Times New Roman"/>
          <w:sz w:val="24"/>
          <w:szCs w:val="24"/>
        </w:rPr>
        <w:t>kicker</w:t>
      </w:r>
      <w:r w:rsidRPr="00FD7C2D">
        <w:rPr>
          <w:rFonts w:ascii="Times New Roman" w:hAnsi="Times New Roman" w:cs="Times New Roman"/>
          <w:sz w:val="24"/>
          <w:szCs w:val="24"/>
        </w:rPr>
        <w:t>)</w:t>
      </w:r>
      <w:r w:rsidR="00D64BAF" w:rsidRPr="00FD7C2D">
        <w:rPr>
          <w:rFonts w:ascii="Times New Roman" w:hAnsi="Times New Roman" w:cs="Times New Roman"/>
          <w:sz w:val="24"/>
          <w:szCs w:val="24"/>
        </w:rPr>
        <w:t>Margin Versus</w:t>
      </w:r>
      <w:r w:rsidR="008A356F" w:rsidRPr="00FD7C2D">
        <w:rPr>
          <w:rFonts w:ascii="Times New Roman" w:hAnsi="Times New Roman" w:cs="Times New Roman"/>
          <w:sz w:val="24"/>
          <w:szCs w:val="24"/>
        </w:rPr>
        <w:t xml:space="preserve"> Mission</w:t>
      </w:r>
    </w:p>
    <w:p w:rsidR="00D64BAF" w:rsidRPr="00FD7C2D" w:rsidRDefault="00D64BAF" w:rsidP="00D64BAF">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(hed)No Risk, No Reward</w:t>
      </w:r>
    </w:p>
    <w:p w:rsidR="00B45C43" w:rsidRPr="00FD7C2D" w:rsidRDefault="000447D8" w:rsidP="00D64BAF">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(sub)</w:t>
      </w:r>
      <w:r w:rsidR="00D64BAF" w:rsidRPr="00FD7C2D">
        <w:rPr>
          <w:rFonts w:ascii="Times New Roman" w:hAnsi="Times New Roman" w:cs="Times New Roman"/>
          <w:sz w:val="24"/>
          <w:szCs w:val="24"/>
        </w:rPr>
        <w:t>Community Reinvestment Act Hits The Red Line</w:t>
      </w:r>
    </w:p>
    <w:p w:rsidR="00BE3290" w:rsidRPr="00FD7C2D" w:rsidRDefault="00D64BAF" w:rsidP="00D64BAF">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(byline)</w:t>
      </w:r>
      <w:r w:rsidR="00BE3290" w:rsidRPr="00FD7C2D">
        <w:rPr>
          <w:rFonts w:ascii="Times New Roman" w:hAnsi="Times New Roman" w:cs="Times New Roman"/>
          <w:sz w:val="24"/>
          <w:szCs w:val="24"/>
        </w:rPr>
        <w:t>By Christina P. O’Neill</w:t>
      </w:r>
    </w:p>
    <w:p w:rsidR="00D64BAF" w:rsidRPr="00FD7C2D" w:rsidRDefault="00D64BAF" w:rsidP="00D64BAF">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Commercial Record Staff</w:t>
      </w:r>
    </w:p>
    <w:p w:rsidR="00D64BAF" w:rsidRPr="00FD7C2D" w:rsidRDefault="00D64BAF" w:rsidP="00D64BAF">
      <w:pPr>
        <w:spacing w:after="0" w:line="240" w:lineRule="auto"/>
        <w:rPr>
          <w:rFonts w:ascii="Times New Roman" w:hAnsi="Times New Roman" w:cs="Times New Roman"/>
          <w:sz w:val="24"/>
          <w:szCs w:val="24"/>
        </w:rPr>
      </w:pPr>
    </w:p>
    <w:p w:rsidR="00BE3290" w:rsidRPr="00FD7C2D" w:rsidRDefault="00BE3290" w:rsidP="00D64BAF">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 xml:space="preserve">If it were possible to legislate </w:t>
      </w:r>
      <w:r w:rsidR="005F1754" w:rsidRPr="00FD7C2D">
        <w:rPr>
          <w:rFonts w:ascii="Times New Roman" w:hAnsi="Times New Roman" w:cs="Times New Roman"/>
          <w:sz w:val="24"/>
          <w:szCs w:val="24"/>
        </w:rPr>
        <w:t>good t</w:t>
      </w:r>
      <w:r w:rsidRPr="00FD7C2D">
        <w:rPr>
          <w:rFonts w:ascii="Times New Roman" w:hAnsi="Times New Roman" w:cs="Times New Roman"/>
          <w:sz w:val="24"/>
          <w:szCs w:val="24"/>
        </w:rPr>
        <w:t xml:space="preserve">imes for </w:t>
      </w:r>
      <w:r w:rsidR="005F1754" w:rsidRPr="00FD7C2D">
        <w:rPr>
          <w:rFonts w:ascii="Times New Roman" w:hAnsi="Times New Roman" w:cs="Times New Roman"/>
          <w:sz w:val="24"/>
          <w:szCs w:val="24"/>
        </w:rPr>
        <w:t>a</w:t>
      </w:r>
      <w:r w:rsidRPr="00FD7C2D">
        <w:rPr>
          <w:rFonts w:ascii="Times New Roman" w:hAnsi="Times New Roman" w:cs="Times New Roman"/>
          <w:sz w:val="24"/>
          <w:szCs w:val="24"/>
        </w:rPr>
        <w:t>ll, banks wouldn’</w:t>
      </w:r>
      <w:r w:rsidR="000447D8" w:rsidRPr="00FD7C2D">
        <w:rPr>
          <w:rFonts w:ascii="Times New Roman" w:hAnsi="Times New Roman" w:cs="Times New Roman"/>
          <w:sz w:val="24"/>
          <w:szCs w:val="24"/>
        </w:rPr>
        <w:t>t be caught between the requirements of the Community Reinves</w:t>
      </w:r>
      <w:r w:rsidR="008D57FE" w:rsidRPr="00FD7C2D">
        <w:rPr>
          <w:rFonts w:ascii="Times New Roman" w:hAnsi="Times New Roman" w:cs="Times New Roman"/>
          <w:sz w:val="24"/>
          <w:szCs w:val="24"/>
        </w:rPr>
        <w:t>t</w:t>
      </w:r>
      <w:r w:rsidR="000447D8" w:rsidRPr="00FD7C2D">
        <w:rPr>
          <w:rFonts w:ascii="Times New Roman" w:hAnsi="Times New Roman" w:cs="Times New Roman"/>
          <w:sz w:val="24"/>
          <w:szCs w:val="24"/>
        </w:rPr>
        <w:t xml:space="preserve">ment Act and </w:t>
      </w:r>
      <w:r w:rsidR="00D0117B" w:rsidRPr="00FD7C2D">
        <w:rPr>
          <w:rFonts w:ascii="Times New Roman" w:hAnsi="Times New Roman" w:cs="Times New Roman"/>
          <w:sz w:val="24"/>
          <w:szCs w:val="24"/>
        </w:rPr>
        <w:t xml:space="preserve">today’s </w:t>
      </w:r>
      <w:r w:rsidR="000447D8" w:rsidRPr="00FD7C2D">
        <w:rPr>
          <w:rFonts w:ascii="Times New Roman" w:hAnsi="Times New Roman" w:cs="Times New Roman"/>
          <w:sz w:val="24"/>
          <w:szCs w:val="24"/>
        </w:rPr>
        <w:t>broadened definition of</w:t>
      </w:r>
      <w:r w:rsidR="00D64BAF" w:rsidRPr="00FD7C2D">
        <w:rPr>
          <w:rFonts w:ascii="Times New Roman" w:hAnsi="Times New Roman" w:cs="Times New Roman"/>
          <w:sz w:val="24"/>
          <w:szCs w:val="24"/>
        </w:rPr>
        <w:t xml:space="preserve"> “redlining</w:t>
      </w:r>
      <w:r w:rsidR="0095649B" w:rsidRPr="00FD7C2D">
        <w:rPr>
          <w:rFonts w:ascii="Times New Roman" w:hAnsi="Times New Roman" w:cs="Times New Roman"/>
          <w:sz w:val="24"/>
          <w:szCs w:val="24"/>
        </w:rPr>
        <w:t>,</w:t>
      </w:r>
      <w:r w:rsidR="00D64BAF" w:rsidRPr="00FD7C2D">
        <w:rPr>
          <w:rFonts w:ascii="Times New Roman" w:hAnsi="Times New Roman" w:cs="Times New Roman"/>
          <w:sz w:val="24"/>
          <w:szCs w:val="24"/>
        </w:rPr>
        <w:t>”</w:t>
      </w:r>
      <w:r w:rsidR="0095649B" w:rsidRPr="00FD7C2D">
        <w:rPr>
          <w:rFonts w:ascii="Times New Roman" w:hAnsi="Times New Roman" w:cs="Times New Roman"/>
          <w:sz w:val="24"/>
          <w:szCs w:val="24"/>
        </w:rPr>
        <w:t xml:space="preserve"> a term </w:t>
      </w:r>
      <w:r w:rsidR="00D2095E" w:rsidRPr="00FD7C2D">
        <w:rPr>
          <w:rFonts w:ascii="Times New Roman" w:hAnsi="Times New Roman" w:cs="Times New Roman"/>
          <w:sz w:val="24"/>
          <w:szCs w:val="24"/>
        </w:rPr>
        <w:t xml:space="preserve">with </w:t>
      </w:r>
      <w:r w:rsidR="0095649B" w:rsidRPr="00FD7C2D">
        <w:rPr>
          <w:rFonts w:ascii="Times New Roman" w:hAnsi="Times New Roman" w:cs="Times New Roman"/>
          <w:sz w:val="24"/>
          <w:szCs w:val="24"/>
        </w:rPr>
        <w:t xml:space="preserve">antecedents in </w:t>
      </w:r>
      <w:r w:rsidR="005F1754" w:rsidRPr="00FD7C2D">
        <w:rPr>
          <w:rFonts w:ascii="Times New Roman" w:hAnsi="Times New Roman" w:cs="Times New Roman"/>
          <w:sz w:val="24"/>
          <w:szCs w:val="24"/>
        </w:rPr>
        <w:t xml:space="preserve">early 20th century </w:t>
      </w:r>
      <w:r w:rsidR="0095649B" w:rsidRPr="00FD7C2D">
        <w:rPr>
          <w:rFonts w:ascii="Times New Roman" w:hAnsi="Times New Roman" w:cs="Times New Roman"/>
          <w:sz w:val="24"/>
          <w:szCs w:val="24"/>
        </w:rPr>
        <w:t xml:space="preserve">maps </w:t>
      </w:r>
      <w:r w:rsidR="005F1754" w:rsidRPr="00FD7C2D">
        <w:rPr>
          <w:rFonts w:ascii="Times New Roman" w:hAnsi="Times New Roman" w:cs="Times New Roman"/>
          <w:sz w:val="24"/>
          <w:szCs w:val="24"/>
        </w:rPr>
        <w:t xml:space="preserve">in which </w:t>
      </w:r>
      <w:r w:rsidR="00D2095E" w:rsidRPr="00FD7C2D">
        <w:rPr>
          <w:rFonts w:ascii="Times New Roman" w:hAnsi="Times New Roman" w:cs="Times New Roman"/>
          <w:sz w:val="24"/>
          <w:szCs w:val="24"/>
        </w:rPr>
        <w:t xml:space="preserve">zones termed as </w:t>
      </w:r>
      <w:r w:rsidR="0095649B" w:rsidRPr="00FD7C2D">
        <w:rPr>
          <w:rFonts w:ascii="Times New Roman" w:hAnsi="Times New Roman" w:cs="Times New Roman"/>
          <w:sz w:val="24"/>
          <w:szCs w:val="24"/>
        </w:rPr>
        <w:t xml:space="preserve">high-risk lending environments were highlighted in red, as opposed the blue, yellow and green hues of </w:t>
      </w:r>
      <w:r w:rsidR="005F1754" w:rsidRPr="00FD7C2D">
        <w:rPr>
          <w:rFonts w:ascii="Times New Roman" w:hAnsi="Times New Roman" w:cs="Times New Roman"/>
          <w:sz w:val="24"/>
          <w:szCs w:val="24"/>
        </w:rPr>
        <w:t xml:space="preserve">more economically-sanguine </w:t>
      </w:r>
      <w:r w:rsidR="0095649B" w:rsidRPr="00FD7C2D">
        <w:rPr>
          <w:rFonts w:ascii="Times New Roman" w:hAnsi="Times New Roman" w:cs="Times New Roman"/>
          <w:sz w:val="24"/>
          <w:szCs w:val="24"/>
        </w:rPr>
        <w:t>districts</w:t>
      </w:r>
      <w:r w:rsidR="00EB2F10" w:rsidRPr="00FD7C2D">
        <w:rPr>
          <w:rFonts w:ascii="Times New Roman" w:hAnsi="Times New Roman" w:cs="Times New Roman"/>
          <w:sz w:val="24"/>
          <w:szCs w:val="24"/>
        </w:rPr>
        <w:t>.</w:t>
      </w:r>
    </w:p>
    <w:p w:rsidR="008D57FE" w:rsidRPr="00FD7C2D" w:rsidRDefault="00F84EF5" w:rsidP="00D64BAF">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 xml:space="preserve">Until </w:t>
      </w:r>
      <w:r w:rsidR="007B7176" w:rsidRPr="00FD7C2D">
        <w:rPr>
          <w:rFonts w:ascii="Times New Roman" w:hAnsi="Times New Roman" w:cs="Times New Roman"/>
          <w:sz w:val="24"/>
          <w:szCs w:val="24"/>
        </w:rPr>
        <w:t>the 1974 Equal Opportunity Credit Act,</w:t>
      </w:r>
      <w:r w:rsidRPr="00FD7C2D">
        <w:rPr>
          <w:rFonts w:ascii="Times New Roman" w:hAnsi="Times New Roman" w:cs="Times New Roman"/>
          <w:sz w:val="24"/>
          <w:szCs w:val="24"/>
        </w:rPr>
        <w:t xml:space="preserve"> r</w:t>
      </w:r>
      <w:r w:rsidR="00D0117B" w:rsidRPr="00FD7C2D">
        <w:rPr>
          <w:rFonts w:ascii="Times New Roman" w:hAnsi="Times New Roman" w:cs="Times New Roman"/>
          <w:sz w:val="24"/>
          <w:szCs w:val="24"/>
        </w:rPr>
        <w:t xml:space="preserve">egulators </w:t>
      </w:r>
      <w:r w:rsidRPr="00FD7C2D">
        <w:rPr>
          <w:rFonts w:ascii="Times New Roman" w:hAnsi="Times New Roman" w:cs="Times New Roman"/>
          <w:sz w:val="24"/>
          <w:szCs w:val="24"/>
        </w:rPr>
        <w:t>had</w:t>
      </w:r>
      <w:r w:rsidR="00D0117B" w:rsidRPr="00FD7C2D">
        <w:rPr>
          <w:rFonts w:ascii="Times New Roman" w:hAnsi="Times New Roman" w:cs="Times New Roman"/>
          <w:sz w:val="24"/>
          <w:szCs w:val="24"/>
        </w:rPr>
        <w:t xml:space="preserve"> to demonstrate </w:t>
      </w:r>
      <w:r w:rsidR="008D57FE" w:rsidRPr="00FD7C2D">
        <w:rPr>
          <w:rFonts w:ascii="Times New Roman" w:hAnsi="Times New Roman" w:cs="Times New Roman"/>
          <w:sz w:val="24"/>
          <w:szCs w:val="24"/>
        </w:rPr>
        <w:t xml:space="preserve">hard evidence of </w:t>
      </w:r>
      <w:r w:rsidR="00D0117B" w:rsidRPr="00FD7C2D">
        <w:rPr>
          <w:rFonts w:ascii="Times New Roman" w:hAnsi="Times New Roman" w:cs="Times New Roman"/>
          <w:sz w:val="24"/>
          <w:szCs w:val="24"/>
        </w:rPr>
        <w:t xml:space="preserve">a lender’s </w:t>
      </w:r>
      <w:r w:rsidR="008D57FE" w:rsidRPr="00FD7C2D">
        <w:rPr>
          <w:rFonts w:ascii="Times New Roman" w:hAnsi="Times New Roman" w:cs="Times New Roman"/>
          <w:sz w:val="24"/>
          <w:szCs w:val="24"/>
        </w:rPr>
        <w:t>overt and intentional discrimination against a specific socioeconomic group</w:t>
      </w:r>
      <w:r w:rsidR="008A356F" w:rsidRPr="00FD7C2D">
        <w:rPr>
          <w:rFonts w:ascii="Times New Roman" w:hAnsi="Times New Roman" w:cs="Times New Roman"/>
          <w:sz w:val="24"/>
          <w:szCs w:val="24"/>
        </w:rPr>
        <w:t xml:space="preserve">. </w:t>
      </w:r>
      <w:r w:rsidR="008D57FE" w:rsidRPr="00FD7C2D">
        <w:rPr>
          <w:rFonts w:ascii="Times New Roman" w:hAnsi="Times New Roman" w:cs="Times New Roman"/>
          <w:sz w:val="24"/>
          <w:szCs w:val="24"/>
        </w:rPr>
        <w:t xml:space="preserve">But </w:t>
      </w:r>
      <w:r w:rsidR="008A356F" w:rsidRPr="00FD7C2D">
        <w:rPr>
          <w:rFonts w:ascii="Times New Roman" w:hAnsi="Times New Roman" w:cs="Times New Roman"/>
          <w:sz w:val="24"/>
          <w:szCs w:val="24"/>
        </w:rPr>
        <w:t xml:space="preserve">there’s been definition-creep over time. Current criteria </w:t>
      </w:r>
      <w:r w:rsidR="0064547C" w:rsidRPr="00FD7C2D">
        <w:rPr>
          <w:rFonts w:ascii="Times New Roman" w:hAnsi="Times New Roman" w:cs="Times New Roman"/>
          <w:sz w:val="24"/>
          <w:szCs w:val="24"/>
        </w:rPr>
        <w:t xml:space="preserve">call only for a demonstration that </w:t>
      </w:r>
      <w:r w:rsidR="006A5921" w:rsidRPr="00FD7C2D">
        <w:rPr>
          <w:rFonts w:ascii="Times New Roman" w:hAnsi="Times New Roman" w:cs="Times New Roman"/>
          <w:sz w:val="24"/>
          <w:szCs w:val="24"/>
        </w:rPr>
        <w:t>a bank</w:t>
      </w:r>
      <w:r w:rsidRPr="00FD7C2D">
        <w:rPr>
          <w:rFonts w:ascii="Times New Roman" w:hAnsi="Times New Roman" w:cs="Times New Roman"/>
          <w:sz w:val="24"/>
          <w:szCs w:val="24"/>
        </w:rPr>
        <w:t>’s</w:t>
      </w:r>
      <w:r w:rsidR="006A5921" w:rsidRPr="00FD7C2D">
        <w:rPr>
          <w:rFonts w:ascii="Times New Roman" w:hAnsi="Times New Roman" w:cs="Times New Roman"/>
          <w:sz w:val="24"/>
          <w:szCs w:val="24"/>
        </w:rPr>
        <w:t xml:space="preserve"> lending policies ha</w:t>
      </w:r>
      <w:r w:rsidRPr="00FD7C2D">
        <w:rPr>
          <w:rFonts w:ascii="Times New Roman" w:hAnsi="Times New Roman" w:cs="Times New Roman"/>
          <w:sz w:val="24"/>
          <w:szCs w:val="24"/>
        </w:rPr>
        <w:t>ve</w:t>
      </w:r>
      <w:r w:rsidR="006A5921" w:rsidRPr="00FD7C2D">
        <w:rPr>
          <w:rFonts w:ascii="Times New Roman" w:hAnsi="Times New Roman" w:cs="Times New Roman"/>
          <w:sz w:val="24"/>
          <w:szCs w:val="24"/>
        </w:rPr>
        <w:t xml:space="preserve"> restricted credit to a protected group without good business reasons. </w:t>
      </w:r>
    </w:p>
    <w:p w:rsidR="00205002" w:rsidRPr="00FD7C2D" w:rsidRDefault="00853162" w:rsidP="00D64BAF">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The remedy would seem to be simple: Banks must demonstrate to regulators that a branch is unprofitable in order to close it or sell it.</w:t>
      </w:r>
    </w:p>
    <w:p w:rsidR="00FD7C2D" w:rsidRPr="00FD7C2D" w:rsidRDefault="00FD7C2D" w:rsidP="00FD7C2D">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Norman H. Roos is a partner in the Hartford- and Boston-based law firm Robinson &amp; Cole, LLP where he chairs the finance practice, a member in the Connecticut Bar Association’s Real Property Section, and an Executive Committee member of the CBA’s Consumer Law Section and Financial Institutions Section, where he is past chair. He also serves as general counsel for the Connecticut Mortgage Bankers Association.</w:t>
      </w:r>
    </w:p>
    <w:p w:rsidR="00FD7C2D" w:rsidRPr="00FD7C2D" w:rsidRDefault="00FD7C2D" w:rsidP="00FD7C2D">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He said that new risk-based capital requirements and liquidity coverage ratio requirements are designed to promote safety and soundness by discouraging risky investments and increasing the capital cushion banks have to endure losses attributable to non-performing loans or, more generally, adverse economic conditions.</w:t>
      </w:r>
    </w:p>
    <w:p w:rsidR="00FD7C2D" w:rsidRPr="00FD7C2D" w:rsidRDefault="00FD7C2D" w:rsidP="00FD7C2D">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“In the residential mortgage area, safety measures which formerly were addressed through internal underwriting practices and collateral requirements have now been subjected to QM and QRM [standards] which have been imposed by federal regulators,” he said. In a simultaneous development relating to fair lending laws, lenders must consider the “disparate impact” of their lending policies and practices, so that even absent any overt discrimination, banks face increased exposure to discrimination claims if their lending activities have a disproportionate impact on protected classes.</w:t>
      </w:r>
    </w:p>
    <w:p w:rsidR="00FD7C2D" w:rsidRPr="00FD7C2D" w:rsidRDefault="00FD7C2D" w:rsidP="00FD7C2D">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“If you’re trying to reach out to marginal borrowers and they happen to be members of a protected class, you may be exposed to both increased credit risk and fair lending regulatory risk,” Roos said.</w:t>
      </w:r>
    </w:p>
    <w:p w:rsidR="00FD7C2D" w:rsidRPr="00FD7C2D" w:rsidRDefault="00FD7C2D" w:rsidP="00FD7C2D">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 xml:space="preserve">Because of simultaneous increases in capital and liquidity requirements, banks must be very careful as to how they deploy their assets, Roos said. He indicated that concern with capital and liquidity positions, coupled with possible cutbacks to the GSEs, a principal source of residential loan liquidity, could result in a throwback to the early days when the secondary mortgage market was in its infancy, and banks could only lend to the extent of the assets they had to fund the loans. </w:t>
      </w:r>
    </w:p>
    <w:p w:rsidR="00FD7C2D" w:rsidRPr="00E238A3" w:rsidRDefault="00FD7C2D" w:rsidP="00D64BAF">
      <w:pPr>
        <w:spacing w:after="0" w:line="240" w:lineRule="auto"/>
        <w:rPr>
          <w:rFonts w:ascii="Times New Roman" w:hAnsi="Times New Roman" w:cs="Times New Roman"/>
          <w:b/>
          <w:sz w:val="24"/>
          <w:szCs w:val="24"/>
        </w:rPr>
      </w:pPr>
    </w:p>
    <w:p w:rsidR="00FD7C2D" w:rsidRPr="00E238A3" w:rsidRDefault="00FD7C2D" w:rsidP="00D64BAF">
      <w:pPr>
        <w:spacing w:after="0" w:line="240" w:lineRule="auto"/>
        <w:rPr>
          <w:rFonts w:ascii="Times New Roman" w:hAnsi="Times New Roman" w:cs="Times New Roman"/>
          <w:b/>
          <w:sz w:val="24"/>
          <w:szCs w:val="24"/>
        </w:rPr>
      </w:pPr>
      <w:r w:rsidRPr="00E238A3">
        <w:rPr>
          <w:rFonts w:ascii="Times New Roman" w:hAnsi="Times New Roman" w:cs="Times New Roman"/>
          <w:b/>
          <w:sz w:val="24"/>
          <w:szCs w:val="24"/>
        </w:rPr>
        <w:t>(sub)</w:t>
      </w:r>
      <w:r w:rsidR="00E238A3">
        <w:rPr>
          <w:rFonts w:ascii="Times New Roman" w:hAnsi="Times New Roman" w:cs="Times New Roman"/>
          <w:b/>
          <w:sz w:val="24"/>
          <w:szCs w:val="24"/>
        </w:rPr>
        <w:t>Tripping Points</w:t>
      </w:r>
    </w:p>
    <w:p w:rsidR="00FD7C2D" w:rsidRPr="00FD7C2D" w:rsidRDefault="00FD7C2D" w:rsidP="00FD7C2D">
      <w:pPr>
        <w:spacing w:after="0" w:line="240" w:lineRule="auto"/>
        <w:rPr>
          <w:rFonts w:ascii="Times New Roman" w:eastAsia="Times New Roman" w:hAnsi="Times New Roman" w:cs="Times New Roman"/>
          <w:sz w:val="24"/>
          <w:szCs w:val="24"/>
        </w:rPr>
      </w:pPr>
      <w:r w:rsidRPr="00FD7C2D">
        <w:rPr>
          <w:rFonts w:ascii="Times New Roman" w:eastAsia="Times New Roman" w:hAnsi="Times New Roman" w:cs="Times New Roman"/>
          <w:sz w:val="24"/>
          <w:szCs w:val="24"/>
        </w:rPr>
        <w:t>There’s a double-bind on mortgage lenders, particularly in Massachusetts, the only state in the union to have its own version of CRA rules. Banks which seek to serve marginal borrowers who are members of a protected class have exposure to allegations of discrimination.</w:t>
      </w:r>
    </w:p>
    <w:p w:rsidR="00FD7C2D" w:rsidRPr="00FD7C2D" w:rsidRDefault="00FD7C2D" w:rsidP="00FD7C2D">
      <w:pPr>
        <w:pStyle w:val="NormalWeb"/>
        <w:shd w:val="clear" w:color="auto" w:fill="FFFFFF"/>
        <w:spacing w:after="0"/>
        <w:rPr>
          <w:lang/>
        </w:rPr>
      </w:pPr>
      <w:r w:rsidRPr="00FD7C2D">
        <w:t xml:space="preserve">Adverse CRA ratings can hinder not only branch closures but also branch acquisitions or expansions. The state Division of Banks </w:t>
      </w:r>
      <w:r w:rsidR="00E238A3">
        <w:t>said</w:t>
      </w:r>
      <w:r w:rsidRPr="00FD7C2D">
        <w:t xml:space="preserve"> that a</w:t>
      </w:r>
      <w:r w:rsidR="00E238A3">
        <w:rPr>
          <w:lang/>
        </w:rPr>
        <w:t>n institution’</w:t>
      </w:r>
      <w:r w:rsidRPr="00FD7C2D">
        <w:rPr>
          <w:lang/>
        </w:rPr>
        <w:t>s CRA performance is taken into account when considering applications for branches; mergers or acquisitions; ATMs; mobile electronic branches; and any other DOB approval</w:t>
      </w:r>
      <w:r w:rsidR="00E238A3">
        <w:rPr>
          <w:lang/>
        </w:rPr>
        <w:t>,</w:t>
      </w:r>
      <w:r w:rsidRPr="00FD7C2D">
        <w:rPr>
          <w:lang/>
        </w:rPr>
        <w:t xml:space="preserve"> provided that there are no other countervailing financial safety and soundness or other policy considerations.</w:t>
      </w:r>
    </w:p>
    <w:p w:rsidR="00FD7C2D" w:rsidRPr="00FD7C2D" w:rsidRDefault="00FD7C2D" w:rsidP="00FD7C2D">
      <w:pPr>
        <w:spacing w:after="0" w:line="240" w:lineRule="auto"/>
        <w:rPr>
          <w:rFonts w:ascii="Times New Roman" w:eastAsia="Times New Roman" w:hAnsi="Times New Roman" w:cs="Times New Roman"/>
          <w:sz w:val="24"/>
          <w:szCs w:val="24"/>
        </w:rPr>
      </w:pPr>
      <w:r w:rsidRPr="00FD7C2D">
        <w:rPr>
          <w:rFonts w:ascii="Times New Roman" w:eastAsia="Times New Roman" w:hAnsi="Times New Roman" w:cs="Times New Roman"/>
          <w:sz w:val="24"/>
          <w:szCs w:val="24"/>
        </w:rPr>
        <w:t>Massachusetts is the only state in the union with its own set of standards for CRA compliance, enacted in 1982. Public records of banks’ and state-chartered credit unions’ compliance with CRA can be found on the state’s website, though the DOB puts a disclaimer on the site that the posted rankings should not be construed as an assessment of the financial soundness of a listed bank. The site lists an exam date; banks receiving the top rating Outstanding in 2014 include Cape Cod Five and Rockland Trust.</w:t>
      </w:r>
    </w:p>
    <w:p w:rsidR="00FD7C2D" w:rsidRPr="00FD7C2D" w:rsidRDefault="00FD7C2D" w:rsidP="00FD7C2D">
      <w:pPr>
        <w:spacing w:after="0" w:line="240" w:lineRule="auto"/>
        <w:rPr>
          <w:rFonts w:ascii="Times New Roman" w:eastAsia="Times New Roman" w:hAnsi="Times New Roman" w:cs="Times New Roman"/>
          <w:color w:val="1F497D"/>
          <w:sz w:val="24"/>
          <w:szCs w:val="24"/>
        </w:rPr>
      </w:pPr>
      <w:r w:rsidRPr="00FD7C2D">
        <w:rPr>
          <w:rFonts w:ascii="Times New Roman" w:eastAsia="Times New Roman" w:hAnsi="Times New Roman" w:cs="Times New Roman"/>
          <w:sz w:val="24"/>
          <w:szCs w:val="24"/>
        </w:rPr>
        <w:t>Massachusetts is also the only state to impose CRA-like criteria for licensed mortgage lenders.</w:t>
      </w:r>
    </w:p>
    <w:p w:rsidR="00FD7C2D" w:rsidRPr="00FD7C2D" w:rsidRDefault="00FD7C2D" w:rsidP="00FD7C2D">
      <w:pPr>
        <w:spacing w:after="0" w:line="240" w:lineRule="auto"/>
        <w:rPr>
          <w:rFonts w:ascii="Times New Roman" w:eastAsia="Times New Roman" w:hAnsi="Times New Roman" w:cs="Times New Roman"/>
          <w:sz w:val="24"/>
          <w:szCs w:val="24"/>
        </w:rPr>
      </w:pPr>
      <w:r w:rsidRPr="00FD7C2D">
        <w:rPr>
          <w:rFonts w:ascii="Times New Roman" w:eastAsia="Times New Roman" w:hAnsi="Times New Roman" w:cs="Times New Roman"/>
          <w:sz w:val="24"/>
          <w:szCs w:val="24"/>
        </w:rPr>
        <w:t>The American Bankers Association wrote earlier this month that banks focus mostly on business objectives – which need to be thoroughly documented as a defense against accusations of discriminatory lending, in light of the broadened criteria for what constitutes a failure to meet CRA standards. They also need to examine targeted marketing programs in order to make sure they are not “accidentally avoiding” areas with high concentrations of potentially-affected borrower classes. They have to make sure they’re lending to their entire market census tracts and review, before closing a branch, the details of why that branch is not performing in its community.</w:t>
      </w:r>
    </w:p>
    <w:p w:rsidR="00211CF2" w:rsidRPr="00FD7C2D" w:rsidRDefault="00211CF2" w:rsidP="00D64BAF">
      <w:pPr>
        <w:spacing w:after="0" w:line="240" w:lineRule="auto"/>
        <w:rPr>
          <w:rFonts w:ascii="Times New Roman" w:eastAsia="Times New Roman" w:hAnsi="Times New Roman" w:cs="Times New Roman"/>
          <w:sz w:val="24"/>
          <w:szCs w:val="24"/>
        </w:rPr>
      </w:pPr>
    </w:p>
    <w:p w:rsidR="00882DDF" w:rsidRPr="00FD7C2D" w:rsidRDefault="00882DDF" w:rsidP="00D64BAF">
      <w:pPr>
        <w:spacing w:after="0" w:line="240" w:lineRule="auto"/>
        <w:rPr>
          <w:rFonts w:ascii="Times New Roman" w:eastAsia="Times New Roman" w:hAnsi="Times New Roman" w:cs="Times New Roman"/>
          <w:b/>
          <w:sz w:val="24"/>
          <w:szCs w:val="24"/>
        </w:rPr>
      </w:pPr>
      <w:r w:rsidRPr="00FD7C2D">
        <w:rPr>
          <w:rFonts w:ascii="Times New Roman" w:eastAsia="Times New Roman" w:hAnsi="Times New Roman" w:cs="Times New Roman"/>
          <w:b/>
          <w:sz w:val="24"/>
          <w:szCs w:val="24"/>
        </w:rPr>
        <w:t>(sub)</w:t>
      </w:r>
      <w:r w:rsidR="00FA3F9F" w:rsidRPr="00FD7C2D">
        <w:rPr>
          <w:rFonts w:ascii="Times New Roman" w:eastAsia="Times New Roman" w:hAnsi="Times New Roman" w:cs="Times New Roman"/>
          <w:b/>
          <w:sz w:val="24"/>
          <w:szCs w:val="24"/>
        </w:rPr>
        <w:t>Limited Beneficiaries</w:t>
      </w:r>
    </w:p>
    <w:p w:rsidR="00FA3F9F" w:rsidRPr="00FD7C2D" w:rsidRDefault="00ED0663" w:rsidP="00584165">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Roos</w:t>
      </w:r>
      <w:r w:rsidR="00FA3F9F" w:rsidRPr="00FD7C2D">
        <w:rPr>
          <w:rFonts w:ascii="Times New Roman" w:hAnsi="Times New Roman" w:cs="Times New Roman"/>
          <w:sz w:val="24"/>
          <w:szCs w:val="24"/>
        </w:rPr>
        <w:t xml:space="preserve"> noted</w:t>
      </w:r>
      <w:r w:rsidRPr="00FD7C2D">
        <w:rPr>
          <w:rFonts w:ascii="Times New Roman" w:hAnsi="Times New Roman" w:cs="Times New Roman"/>
          <w:sz w:val="24"/>
          <w:szCs w:val="24"/>
        </w:rPr>
        <w:t xml:space="preserve"> that the viability of a bank branch boils down to its return on assets. Banks must have a strong balance sheet and business plan to survive and flourish, he </w:t>
      </w:r>
      <w:r w:rsidR="00FA3F9F" w:rsidRPr="00FD7C2D">
        <w:rPr>
          <w:rFonts w:ascii="Times New Roman" w:hAnsi="Times New Roman" w:cs="Times New Roman"/>
          <w:sz w:val="24"/>
          <w:szCs w:val="24"/>
        </w:rPr>
        <w:t>said.</w:t>
      </w:r>
    </w:p>
    <w:p w:rsidR="00ED0663" w:rsidRPr="00FD7C2D" w:rsidRDefault="00ED0663" w:rsidP="00584165">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 xml:space="preserve">“I am concerned about the regulatory environment, [in which] it’s easy to criticize banks and mortgage companies and other financial institutions for past failures. [We are] clearly all living with the </w:t>
      </w:r>
      <w:r w:rsidR="00FA3F9F" w:rsidRPr="00FD7C2D">
        <w:rPr>
          <w:rFonts w:ascii="Times New Roman" w:hAnsi="Times New Roman" w:cs="Times New Roman"/>
          <w:sz w:val="24"/>
          <w:szCs w:val="24"/>
        </w:rPr>
        <w:t>consequences of those failures.”</w:t>
      </w:r>
    </w:p>
    <w:p w:rsidR="00ED0663" w:rsidRPr="00FD7C2D" w:rsidRDefault="00ED0663" w:rsidP="00584165">
      <w:pPr>
        <w:spacing w:after="0" w:line="240" w:lineRule="auto"/>
        <w:rPr>
          <w:rFonts w:ascii="Times New Roman" w:hAnsi="Times New Roman" w:cs="Times New Roman"/>
          <w:sz w:val="24"/>
          <w:szCs w:val="24"/>
        </w:rPr>
      </w:pPr>
      <w:r w:rsidRPr="00FD7C2D">
        <w:rPr>
          <w:rFonts w:ascii="Times New Roman" w:hAnsi="Times New Roman" w:cs="Times New Roman"/>
          <w:sz w:val="24"/>
          <w:szCs w:val="24"/>
        </w:rPr>
        <w:t xml:space="preserve">“Recovery is still fragile, and the beneficiaries of </w:t>
      </w:r>
      <w:r w:rsidR="00FA3F9F" w:rsidRPr="00FD7C2D">
        <w:rPr>
          <w:rFonts w:ascii="Times New Roman" w:hAnsi="Times New Roman" w:cs="Times New Roman"/>
          <w:sz w:val="24"/>
          <w:szCs w:val="24"/>
        </w:rPr>
        <w:t>recovery are limited,” Roos added</w:t>
      </w:r>
      <w:r w:rsidRPr="00FD7C2D">
        <w:rPr>
          <w:rFonts w:ascii="Times New Roman" w:hAnsi="Times New Roman" w:cs="Times New Roman"/>
          <w:sz w:val="24"/>
          <w:szCs w:val="24"/>
        </w:rPr>
        <w:t>. “I think we have a long way to go. Political agendas and the profusion of regulations are somewhat intertwined as well. … How restrictive should bank regulators be?” he asks. “If we take the risk out of financial industry, we won’t have a financial industry.”</w:t>
      </w:r>
    </w:p>
    <w:p w:rsidR="00FA3F9F" w:rsidRPr="00FD7C2D" w:rsidRDefault="00FA3F9F" w:rsidP="00584165">
      <w:pPr>
        <w:spacing w:after="0" w:line="240" w:lineRule="auto"/>
        <w:rPr>
          <w:rFonts w:ascii="Times New Roman" w:hAnsi="Times New Roman" w:cs="Times New Roman"/>
          <w:sz w:val="24"/>
          <w:szCs w:val="24"/>
        </w:rPr>
      </w:pPr>
    </w:p>
    <w:p w:rsidR="00ED0663" w:rsidRPr="00FD7C2D" w:rsidRDefault="00882DDF" w:rsidP="00D64BAF">
      <w:pPr>
        <w:spacing w:after="0" w:line="240" w:lineRule="auto"/>
        <w:rPr>
          <w:rFonts w:ascii="Times New Roman" w:eastAsia="Times New Roman" w:hAnsi="Times New Roman" w:cs="Times New Roman"/>
          <w:i/>
          <w:sz w:val="24"/>
          <w:szCs w:val="24"/>
        </w:rPr>
      </w:pPr>
      <w:r w:rsidRPr="00FD7C2D">
        <w:rPr>
          <w:rFonts w:ascii="Times New Roman" w:eastAsia="Times New Roman" w:hAnsi="Times New Roman" w:cs="Times New Roman"/>
          <w:i/>
          <w:sz w:val="24"/>
          <w:szCs w:val="24"/>
        </w:rPr>
        <w:t xml:space="preserve">Email: </w:t>
      </w:r>
      <w:hyperlink r:id="rId4" w:history="1">
        <w:r w:rsidR="00ED0663" w:rsidRPr="00FD7C2D">
          <w:rPr>
            <w:rStyle w:val="Hyperlink"/>
            <w:rFonts w:ascii="Times New Roman" w:eastAsia="Times New Roman" w:hAnsi="Times New Roman" w:cs="Times New Roman"/>
            <w:i/>
            <w:sz w:val="24"/>
            <w:szCs w:val="24"/>
          </w:rPr>
          <w:t>coneill@thewarrengroup.com</w:t>
        </w:r>
      </w:hyperlink>
      <w:bookmarkStart w:id="0" w:name="_GoBack"/>
      <w:bookmarkEnd w:id="0"/>
    </w:p>
    <w:sectPr w:rsidR="00ED0663" w:rsidRPr="00FD7C2D" w:rsidSect="00AD6A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365F"/>
    <w:rsid w:val="00042F5F"/>
    <w:rsid w:val="000447D8"/>
    <w:rsid w:val="0015471D"/>
    <w:rsid w:val="00167F06"/>
    <w:rsid w:val="001B53C5"/>
    <w:rsid w:val="001B571F"/>
    <w:rsid w:val="001B6CBC"/>
    <w:rsid w:val="00205002"/>
    <w:rsid w:val="00211CF2"/>
    <w:rsid w:val="0021365F"/>
    <w:rsid w:val="00235610"/>
    <w:rsid w:val="002F7D5D"/>
    <w:rsid w:val="00302350"/>
    <w:rsid w:val="0031556D"/>
    <w:rsid w:val="0032290C"/>
    <w:rsid w:val="003B114C"/>
    <w:rsid w:val="004429AC"/>
    <w:rsid w:val="0050046D"/>
    <w:rsid w:val="0050257A"/>
    <w:rsid w:val="00580626"/>
    <w:rsid w:val="00584165"/>
    <w:rsid w:val="00594616"/>
    <w:rsid w:val="00595077"/>
    <w:rsid w:val="005F1754"/>
    <w:rsid w:val="0064547C"/>
    <w:rsid w:val="00681F72"/>
    <w:rsid w:val="00690BA3"/>
    <w:rsid w:val="006A5921"/>
    <w:rsid w:val="006C239B"/>
    <w:rsid w:val="006C4A30"/>
    <w:rsid w:val="007610C7"/>
    <w:rsid w:val="00794C8F"/>
    <w:rsid w:val="007B519E"/>
    <w:rsid w:val="007B7176"/>
    <w:rsid w:val="007F0596"/>
    <w:rsid w:val="00805062"/>
    <w:rsid w:val="00841190"/>
    <w:rsid w:val="00853162"/>
    <w:rsid w:val="00882DDF"/>
    <w:rsid w:val="00893C9D"/>
    <w:rsid w:val="008A356F"/>
    <w:rsid w:val="008B108E"/>
    <w:rsid w:val="008B5D66"/>
    <w:rsid w:val="008D2C29"/>
    <w:rsid w:val="008D57FE"/>
    <w:rsid w:val="008E60F7"/>
    <w:rsid w:val="00907B6F"/>
    <w:rsid w:val="00933A0F"/>
    <w:rsid w:val="0095649B"/>
    <w:rsid w:val="0097324E"/>
    <w:rsid w:val="009B3597"/>
    <w:rsid w:val="00A06D64"/>
    <w:rsid w:val="00AD1C23"/>
    <w:rsid w:val="00AD6AC4"/>
    <w:rsid w:val="00B0214F"/>
    <w:rsid w:val="00B37E51"/>
    <w:rsid w:val="00B45C43"/>
    <w:rsid w:val="00BE3290"/>
    <w:rsid w:val="00BE38B7"/>
    <w:rsid w:val="00BF41BE"/>
    <w:rsid w:val="00C6542B"/>
    <w:rsid w:val="00CF0C76"/>
    <w:rsid w:val="00D0117B"/>
    <w:rsid w:val="00D2095E"/>
    <w:rsid w:val="00D22B8F"/>
    <w:rsid w:val="00D30886"/>
    <w:rsid w:val="00D3759B"/>
    <w:rsid w:val="00D64BAF"/>
    <w:rsid w:val="00D86D0B"/>
    <w:rsid w:val="00D93694"/>
    <w:rsid w:val="00DD7621"/>
    <w:rsid w:val="00E06914"/>
    <w:rsid w:val="00E238A3"/>
    <w:rsid w:val="00E86FBD"/>
    <w:rsid w:val="00EB2F10"/>
    <w:rsid w:val="00ED0663"/>
    <w:rsid w:val="00ED29B8"/>
    <w:rsid w:val="00F24F16"/>
    <w:rsid w:val="00F84EF5"/>
    <w:rsid w:val="00FA3F9F"/>
    <w:rsid w:val="00FD7C2D"/>
    <w:rsid w:val="00FF6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663"/>
    <w:rPr>
      <w:color w:val="0563C1" w:themeColor="hyperlink"/>
      <w:u w:val="single"/>
    </w:rPr>
  </w:style>
  <w:style w:type="paragraph" w:styleId="NormalWeb">
    <w:name w:val="Normal (Web)"/>
    <w:basedOn w:val="Normal"/>
    <w:uiPriority w:val="99"/>
    <w:semiHidden/>
    <w:unhideWhenUsed/>
    <w:rsid w:val="00FD7C2D"/>
    <w:pPr>
      <w:spacing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94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eill@thewarren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ONeill</dc:creator>
  <cp:keywords/>
  <dc:description/>
  <cp:lastModifiedBy>Cassie Murphy</cp:lastModifiedBy>
  <cp:revision>3</cp:revision>
  <dcterms:created xsi:type="dcterms:W3CDTF">2014-09-24T18:13:00Z</dcterms:created>
  <dcterms:modified xsi:type="dcterms:W3CDTF">2014-09-24T18:27:00Z</dcterms:modified>
</cp:coreProperties>
</file>